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C2" w:rsidRDefault="007E13C2" w:rsidP="007E13C2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>W p</w:t>
      </w:r>
      <w:r w:rsidRPr="00961074">
        <w:rPr>
          <w:rFonts w:ascii="Times New Roman" w:hAnsi="Times New Roman"/>
          <w:sz w:val="24"/>
          <w:szCs w:val="24"/>
          <w:lang w:eastAsia="pl-PL"/>
        </w:rPr>
        <w:t>rakty</w:t>
      </w:r>
      <w:r>
        <w:rPr>
          <w:rFonts w:ascii="Times New Roman" w:hAnsi="Times New Roman"/>
          <w:sz w:val="24"/>
          <w:szCs w:val="24"/>
          <w:lang w:eastAsia="pl-PL"/>
        </w:rPr>
        <w:t>ce</w:t>
      </w:r>
      <w:r w:rsidRPr="00961074">
        <w:rPr>
          <w:rFonts w:ascii="Times New Roman" w:hAnsi="Times New Roman"/>
          <w:sz w:val="24"/>
          <w:szCs w:val="24"/>
          <w:lang w:eastAsia="pl-PL"/>
        </w:rPr>
        <w:t xml:space="preserve"> życia gospodarczego drugiej połowy XX wieku oraz początku XXI wieku </w:t>
      </w:r>
      <w:r>
        <w:rPr>
          <w:rFonts w:ascii="Times New Roman" w:hAnsi="Times New Roman"/>
          <w:sz w:val="24"/>
          <w:szCs w:val="24"/>
          <w:lang w:eastAsia="pl-PL"/>
        </w:rPr>
        <w:t>ujawniały się</w:t>
      </w:r>
      <w:r w:rsidRPr="00961074">
        <w:rPr>
          <w:rFonts w:ascii="Times New Roman" w:hAnsi="Times New Roman"/>
          <w:sz w:val="24"/>
          <w:szCs w:val="24"/>
          <w:lang w:eastAsia="pl-PL"/>
        </w:rPr>
        <w:t xml:space="preserve"> długookresowe niedomagania polityki fiskalnej, których głównym objawem były nadmierne deficyty i</w:t>
      </w:r>
      <w:r>
        <w:rPr>
          <w:rFonts w:ascii="Times New Roman" w:hAnsi="Times New Roman"/>
          <w:sz w:val="24"/>
          <w:szCs w:val="24"/>
          <w:lang w:eastAsia="pl-PL"/>
        </w:rPr>
        <w:t xml:space="preserve"> zbyt </w:t>
      </w:r>
      <w:r w:rsidR="00DF327B">
        <w:rPr>
          <w:rFonts w:ascii="Times New Roman" w:hAnsi="Times New Roman"/>
          <w:sz w:val="24"/>
          <w:szCs w:val="24"/>
          <w:lang w:eastAsia="pl-PL"/>
        </w:rPr>
        <w:t xml:space="preserve">duży </w:t>
      </w:r>
      <w:r w:rsidRPr="00961074">
        <w:rPr>
          <w:rFonts w:ascii="Times New Roman" w:hAnsi="Times New Roman"/>
          <w:sz w:val="24"/>
          <w:szCs w:val="24"/>
          <w:lang w:eastAsia="pl-PL"/>
        </w:rPr>
        <w:t xml:space="preserve">dług publiczny, nawet w okresach dobrej koniunktury gospodarczej. W systemie demokratycznym, po części wskutek cyklu wyborczego, występuje nadmierna skłonność do procyklicznej polityki fiskalnej, ograniczającej potencjalną skuteczność automatycznych stabilizatorów koniunktury </w:t>
      </w:r>
      <w:r w:rsidR="00DF327B">
        <w:rPr>
          <w:rFonts w:ascii="Times New Roman" w:hAnsi="Times New Roman"/>
          <w:sz w:val="24"/>
          <w:szCs w:val="24"/>
          <w:lang w:eastAsia="pl-PL"/>
        </w:rPr>
        <w:t xml:space="preserve">działających </w:t>
      </w:r>
      <w:r w:rsidRPr="00961074">
        <w:rPr>
          <w:rFonts w:ascii="Times New Roman" w:hAnsi="Times New Roman"/>
          <w:sz w:val="24"/>
          <w:szCs w:val="24"/>
          <w:lang w:eastAsia="pl-PL"/>
        </w:rPr>
        <w:t xml:space="preserve">bez ingerencji ze strony państwa. </w:t>
      </w:r>
    </w:p>
    <w:p w:rsidR="007E13C2" w:rsidRDefault="007E13C2" w:rsidP="007E13C2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1074">
        <w:rPr>
          <w:rFonts w:ascii="Times New Roman" w:hAnsi="Times New Roman"/>
          <w:sz w:val="24"/>
          <w:szCs w:val="24"/>
          <w:lang w:eastAsia="pl-PL"/>
        </w:rPr>
        <w:t>Wyzwanie</w:t>
      </w:r>
      <w:r>
        <w:rPr>
          <w:rFonts w:ascii="Times New Roman" w:hAnsi="Times New Roman"/>
          <w:sz w:val="24"/>
          <w:szCs w:val="24"/>
          <w:lang w:eastAsia="pl-PL"/>
        </w:rPr>
        <w:t>m</w:t>
      </w:r>
      <w:r w:rsidRPr="00961074">
        <w:rPr>
          <w:rFonts w:ascii="Times New Roman" w:hAnsi="Times New Roman"/>
          <w:sz w:val="24"/>
          <w:szCs w:val="24"/>
          <w:lang w:eastAsia="pl-PL"/>
        </w:rPr>
        <w:t xml:space="preserve"> dla finansów publicznych </w:t>
      </w:r>
      <w:r>
        <w:rPr>
          <w:rFonts w:ascii="Times New Roman" w:hAnsi="Times New Roman"/>
          <w:sz w:val="24"/>
          <w:szCs w:val="24"/>
          <w:lang w:eastAsia="pl-PL"/>
        </w:rPr>
        <w:t>są</w:t>
      </w:r>
      <w:r w:rsidRPr="00961074">
        <w:rPr>
          <w:rFonts w:ascii="Times New Roman" w:hAnsi="Times New Roman"/>
          <w:sz w:val="24"/>
          <w:szCs w:val="24"/>
          <w:lang w:eastAsia="pl-PL"/>
        </w:rPr>
        <w:t xml:space="preserve"> długoterminowe procesy starzenia się ludności. W ramach Unii Europejskiej dodatkowe problemy dla polityki fiskalnej wynikają z konsekwencji jednolitej polityki </w:t>
      </w:r>
      <w:r w:rsidR="00DF327B">
        <w:rPr>
          <w:rFonts w:ascii="Times New Roman" w:hAnsi="Times New Roman"/>
          <w:sz w:val="24"/>
          <w:szCs w:val="24"/>
          <w:lang w:eastAsia="pl-PL"/>
        </w:rPr>
        <w:t xml:space="preserve">pieniężnej </w:t>
      </w:r>
      <w:r w:rsidRPr="00961074">
        <w:rPr>
          <w:rFonts w:ascii="Times New Roman" w:hAnsi="Times New Roman"/>
          <w:sz w:val="24"/>
          <w:szCs w:val="24"/>
          <w:lang w:eastAsia="pl-PL"/>
        </w:rPr>
        <w:t xml:space="preserve">w ramach unii monetarnej. Przezwyciężenie tych problemów i poprawa jakości polityki fiskalnej </w:t>
      </w:r>
      <w:r>
        <w:rPr>
          <w:rFonts w:ascii="Times New Roman" w:hAnsi="Times New Roman"/>
          <w:sz w:val="24"/>
          <w:szCs w:val="24"/>
          <w:lang w:eastAsia="pl-PL"/>
        </w:rPr>
        <w:t>wymaga</w:t>
      </w:r>
      <w:r w:rsidRPr="00961074">
        <w:rPr>
          <w:rFonts w:ascii="Times New Roman" w:hAnsi="Times New Roman"/>
          <w:sz w:val="24"/>
          <w:szCs w:val="24"/>
          <w:lang w:eastAsia="pl-PL"/>
        </w:rPr>
        <w:t xml:space="preserve"> wykorzystywania nowych, w szczególności </w:t>
      </w:r>
      <w:r w:rsidRPr="007845FB">
        <w:rPr>
          <w:rFonts w:ascii="Times New Roman" w:hAnsi="Times New Roman"/>
          <w:sz w:val="24"/>
          <w:szCs w:val="24"/>
          <w:lang w:eastAsia="pl-PL"/>
        </w:rPr>
        <w:t>perspektywicznych</w:t>
      </w:r>
      <w:r w:rsidR="00210FEC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961074">
        <w:rPr>
          <w:rFonts w:ascii="Times New Roman" w:hAnsi="Times New Roman"/>
          <w:sz w:val="24"/>
          <w:szCs w:val="24"/>
          <w:lang w:eastAsia="pl-PL"/>
        </w:rPr>
        <w:t>instrumentów zarządzania publicznego.</w:t>
      </w:r>
    </w:p>
    <w:p w:rsidR="007E13C2" w:rsidRDefault="007E13C2" w:rsidP="007E13C2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Monografia składa się z pięciu rozdziałów, w których </w:t>
      </w:r>
      <w:r w:rsidR="00DF327B">
        <w:rPr>
          <w:rFonts w:ascii="Times New Roman" w:hAnsi="Times New Roman"/>
          <w:sz w:val="24"/>
          <w:szCs w:val="24"/>
          <w:lang w:eastAsia="pl-PL"/>
        </w:rPr>
        <w:t>z</w:t>
      </w:r>
      <w:r>
        <w:rPr>
          <w:rFonts w:ascii="Times New Roman" w:hAnsi="Times New Roman"/>
          <w:sz w:val="24"/>
          <w:szCs w:val="24"/>
          <w:lang w:eastAsia="pl-PL"/>
        </w:rPr>
        <w:t xml:space="preserve">aprezentowano instrumenty zarządzania </w:t>
      </w:r>
      <w:r w:rsidRPr="005E3C95">
        <w:rPr>
          <w:rFonts w:ascii="Times New Roman" w:hAnsi="Times New Roman"/>
          <w:sz w:val="24"/>
          <w:szCs w:val="24"/>
          <w:lang w:eastAsia="pl-PL"/>
        </w:rPr>
        <w:t>finansami</w:t>
      </w:r>
      <w:r w:rsidR="006E282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E3C95">
        <w:rPr>
          <w:rFonts w:ascii="Times New Roman" w:hAnsi="Times New Roman"/>
          <w:sz w:val="24"/>
          <w:szCs w:val="24"/>
          <w:lang w:eastAsia="pl-PL"/>
        </w:rPr>
        <w:t>publicznymi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6E282B">
        <w:rPr>
          <w:rFonts w:ascii="Times New Roman" w:hAnsi="Times New Roman"/>
          <w:sz w:val="24"/>
          <w:szCs w:val="24"/>
          <w:lang w:eastAsia="pl-PL"/>
        </w:rPr>
        <w:t>S</w:t>
      </w:r>
      <w:r>
        <w:rPr>
          <w:rFonts w:ascii="Times New Roman" w:hAnsi="Times New Roman"/>
          <w:sz w:val="24"/>
          <w:szCs w:val="24"/>
          <w:lang w:eastAsia="pl-PL"/>
        </w:rPr>
        <w:t>zczególną uwagę poświęca się poprawie efektywności wydatkowania środków publicznych. Autorka przedstawia poszczególne narzędzia zarządzania środkami publicznymi</w:t>
      </w:r>
      <w:r w:rsidR="00DF327B">
        <w:rPr>
          <w:rFonts w:ascii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 New Roman" w:hAnsi="Times New Roman"/>
          <w:sz w:val="24"/>
          <w:szCs w:val="24"/>
          <w:lang w:eastAsia="pl-PL"/>
        </w:rPr>
        <w:t>planowanie średnio- i długookresowe w sektorze publicznym, niezależne instytucje fiskalne oraz przeglądy wydatków, a ponadto omawia</w:t>
      </w:r>
      <w:r w:rsidR="00DF327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wskaźniki obrazujące osiągane efekty</w:t>
      </w:r>
      <w:r w:rsidR="006E282B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W szczególności dużo miejsca poświęc</w:t>
      </w:r>
      <w:r w:rsidR="00DF327B">
        <w:rPr>
          <w:rFonts w:ascii="Times New Roman" w:hAnsi="Times New Roman"/>
          <w:sz w:val="24"/>
          <w:szCs w:val="24"/>
          <w:lang w:eastAsia="pl-PL"/>
        </w:rPr>
        <w:t xml:space="preserve">ono </w:t>
      </w:r>
      <w:r>
        <w:rPr>
          <w:rFonts w:ascii="Times New Roman" w:hAnsi="Times New Roman"/>
          <w:sz w:val="24"/>
          <w:szCs w:val="24"/>
          <w:lang w:eastAsia="pl-PL"/>
        </w:rPr>
        <w:t>rozwiązaniom stosowanym w Niemczech, Holandii, Irlandii, Australii i Polsce. Wybór krajów, których sytuację i politykę w tych dziedzinach porównuje się z sytuacją i polityką  w Polsce, nie jest przypadkowy</w:t>
      </w:r>
      <w:r w:rsidR="00DF327B">
        <w:rPr>
          <w:rFonts w:ascii="Times New Roman" w:hAnsi="Times New Roman"/>
          <w:sz w:val="24"/>
          <w:szCs w:val="24"/>
          <w:lang w:eastAsia="pl-PL"/>
        </w:rPr>
        <w:t xml:space="preserve">, z przeprowadzonych  porównań bowiem wynikają praktyczne wnioski dla naszego kraju. </w:t>
      </w:r>
    </w:p>
    <w:p w:rsidR="0026441B" w:rsidRDefault="0026441B"/>
    <w:sectPr w:rsidR="0026441B" w:rsidSect="00707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C2"/>
    <w:rsid w:val="0005750B"/>
    <w:rsid w:val="000C0B22"/>
    <w:rsid w:val="00210FEC"/>
    <w:rsid w:val="0026441B"/>
    <w:rsid w:val="003E1D81"/>
    <w:rsid w:val="006E282B"/>
    <w:rsid w:val="007073BB"/>
    <w:rsid w:val="007E13C2"/>
    <w:rsid w:val="00A25B1C"/>
    <w:rsid w:val="00AD2D99"/>
    <w:rsid w:val="00D776F4"/>
    <w:rsid w:val="00DF3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3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B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3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B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Postuła Marta</dc:creator>
  <cp:lastModifiedBy>Postuła Marta</cp:lastModifiedBy>
  <cp:revision>2</cp:revision>
  <dcterms:created xsi:type="dcterms:W3CDTF">2015-05-28T06:12:00Z</dcterms:created>
  <dcterms:modified xsi:type="dcterms:W3CDTF">2015-05-28T06:12:00Z</dcterms:modified>
</cp:coreProperties>
</file>